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2D1E2" w14:textId="77777777" w:rsidR="00E60F4D" w:rsidRPr="00E60F4D" w:rsidRDefault="00E60F4D" w:rsidP="00E60F4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proofErr w:type="spellStart"/>
      <w:r w:rsidRPr="00E60F4D">
        <w:rPr>
          <w:rFonts w:ascii="CoHeadline-Regular" w:hAnsi="CoHeadline-Regular" w:cs="CoHeadline-Regular"/>
          <w:color w:val="F20700"/>
          <w:sz w:val="44"/>
          <w:szCs w:val="44"/>
        </w:rPr>
        <w:t>Andaluzia</w:t>
      </w:r>
      <w:proofErr w:type="spellEnd"/>
      <w:r w:rsidRPr="00E60F4D">
        <w:rPr>
          <w:rFonts w:ascii="CoHeadline-Regular" w:hAnsi="CoHeadline-Regular" w:cs="CoHeadline-Regular"/>
          <w:color w:val="F20700"/>
          <w:sz w:val="44"/>
          <w:szCs w:val="44"/>
        </w:rPr>
        <w:t xml:space="preserve"> e Marrocos</w:t>
      </w:r>
    </w:p>
    <w:p w14:paraId="597DAB89" w14:textId="14CC63E1" w:rsidR="00957DB7" w:rsidRDefault="00E60F4D" w:rsidP="00E60F4D">
      <w:pPr>
        <w:pStyle w:val="codigocabecera"/>
        <w:spacing w:line="240" w:lineRule="auto"/>
        <w:jc w:val="left"/>
      </w:pPr>
      <w:r w:rsidRPr="00E60F4D">
        <w:t>C-4122</w:t>
      </w:r>
    </w:p>
    <w:p w14:paraId="48887611" w14:textId="7433F75C" w:rsidR="00957DB7" w:rsidRDefault="00E60F4D" w:rsidP="00E60F4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D45F77E" w14:textId="77777777" w:rsidR="00E60F4D" w:rsidRPr="00E60F4D" w:rsidRDefault="003D0FF3" w:rsidP="00E60F4D">
      <w:pPr>
        <w:pStyle w:val="nochescabecera"/>
        <w:spacing w:line="240" w:lineRule="auto"/>
        <w:rPr>
          <w:lang w:val="en-US"/>
        </w:rPr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E60F4D">
        <w:t>Sevilha</w:t>
      </w:r>
      <w:proofErr w:type="spellEnd"/>
      <w:proofErr w:type="gramEnd"/>
      <w:r w:rsidR="00E60F4D">
        <w:t xml:space="preserve"> 2. Costa do Sol 2. </w:t>
      </w:r>
      <w:proofErr w:type="spellStart"/>
      <w:r w:rsidR="00E60F4D" w:rsidRPr="00E60F4D">
        <w:rPr>
          <w:lang w:val="en-US"/>
        </w:rPr>
        <w:t>Tânger</w:t>
      </w:r>
      <w:proofErr w:type="spellEnd"/>
      <w:r w:rsidR="00E60F4D" w:rsidRPr="00E60F4D">
        <w:rPr>
          <w:lang w:val="en-US"/>
        </w:rPr>
        <w:t xml:space="preserve"> 1. Fez 2. Marrakech 2. Rabat 1. Granada 1.</w:t>
      </w:r>
    </w:p>
    <w:p w14:paraId="1899E14E" w14:textId="103478CA" w:rsidR="00957DB7" w:rsidRDefault="00957DB7" w:rsidP="00E60F4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</w:p>
    <w:p w14:paraId="1EB223DA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MADRI-CÁCERES-SEVILHA (560 km)</w:t>
      </w:r>
    </w:p>
    <w:p w14:paraId="33161B84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Continuação </w:t>
      </w:r>
      <w:proofErr w:type="gram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ate</w:t>
      </w:r>
      <w:proofErr w:type="gram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Sevilha.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22A6F11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0F3D064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SEVILHA</w:t>
      </w:r>
    </w:p>
    <w:p w14:paraId="048E77DB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6898B2C5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91C24A" w14:textId="32080498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SEVILHA-RONDA-COSTA DO SOL (190 km)</w:t>
      </w:r>
    </w:p>
    <w:p w14:paraId="22D78FE3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destino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Ronda</w:t>
      </w:r>
      <w:proofErr w:type="gram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.Tempo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livre. Continuação a Costa do Sol.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2B7CCCF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45FA7AD" w14:textId="4661D3D2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(Domingo) COSTA DO SOL-TÂNGER (Ferry) (230 km)</w:t>
      </w:r>
    </w:p>
    <w:p w14:paraId="24B075F6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embarque em direção a Tânger atravessando o Estreito de Gibraltar. Chegada e passeio panorâmico para conhecer os arredores de Tânger, Grutas de Hércules (entrada não incluída), Cabo Espartel.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20AA173D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84A53D4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(Segunda) TÂNGER-VOLUBILIS-MEKNÉS-FEZ (350 km)</w:t>
      </w:r>
    </w:p>
    <w:p w14:paraId="167ECF99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 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 saída pelo Médio Atlas, em direção 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Volubilis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visitar suas ruínas romanas, a principal rota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Decumanus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Meknés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uma das cidades imperiais que se tornou a capital de Marrocos. Visitaremos a medina, a praça El-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Hedim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o portão Bab Al Mansour. À tarde chegada a Fez.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9EEE36C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975A9B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</w:t>
      </w:r>
      <w:proofErr w:type="spellStart"/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557BEB3C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Passeio panorâmico, palácio real e suas 7 portas ou Dar Al-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medina de Fez El Bali, a mais antiga e maior do Marrocos, Patrimônio da Humanidade, com 785 mesquitas, 2.000 praças, ruas e vielas. De Bab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séculos. Conheceremos as diferentes construções, guildas e uma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DFC5177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3CDEE97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7º Dia (</w:t>
      </w:r>
      <w:proofErr w:type="spellStart"/>
      <w:r w:rsidRPr="00E60F4D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Quarta</w:t>
      </w:r>
      <w:proofErr w:type="spellEnd"/>
      <w:r w:rsidRPr="00E60F4D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) FEZ-CASABLANCA-MARRAKECH (545 km)</w:t>
      </w:r>
    </w:p>
    <w:p w14:paraId="2E46DEB7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Corniche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visitar a Grande Mesquita Hassan II (exterior). Chegada 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FDACD5F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805ACE0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(Quinta) MARRAKECH</w:t>
      </w:r>
    </w:p>
    <w:p w14:paraId="4CC5CE7D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Visita de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outra das cidades imperiais. Partimos da Mesquita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Koutouia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símbolo da cidade, continuamos com o sumptuoso Palácio Bahia, bairro judeu ou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passando pela praça da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até à praça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E60F4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Tarde livre. </w:t>
      </w:r>
      <w:r w:rsidRPr="00E60F4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B8F6554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72F3224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(Sexta) MARRAKECH-RABAT (320 km)</w:t>
      </w:r>
    </w:p>
    <w:p w14:paraId="58A354C3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Udayas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seu calçadão às margens do rio </w:t>
      </w:r>
      <w:proofErr w:type="spellStart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Bouregreg</w:t>
      </w:r>
      <w:proofErr w:type="spellEnd"/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noite, tour panorâmico noturno pela cidade e </w:t>
      </w:r>
      <w:r w:rsidRPr="00E60F4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</w:t>
      </w:r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</w:t>
      </w:r>
      <w:r w:rsidRPr="00E60F4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E60F4D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CF793D6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0EF27CD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</w:t>
      </w:r>
      <w:proofErr w:type="gramStart"/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E60F4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RABAT-TÂNGER-COSTA DO SOL (Ferry) (480 km)</w:t>
      </w:r>
    </w:p>
    <w:p w14:paraId="41D699A5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  <w:t xml:space="preserve">. Saída para Tânger para embarque de volta à Espanha. Desembarque e traslado à Costa do Sol. </w:t>
      </w:r>
      <w:r w:rsidRPr="00E60F4D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Jantar e hospedagem</w:t>
      </w:r>
      <w:r w:rsidRPr="00E60F4D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  <w:t>.</w:t>
      </w:r>
    </w:p>
    <w:p w14:paraId="60D1354B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F65CBB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11º Dia (Domingo) COSTA DO SOL-GRANADA* (180 km)</w:t>
      </w:r>
    </w:p>
    <w:p w14:paraId="0A504DA6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45BF995E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26B9099" w14:textId="77777777" w:rsidR="00E60F4D" w:rsidRPr="00E60F4D" w:rsidRDefault="00E60F4D" w:rsidP="00E60F4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E60F4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12º Dia (Segunda) GRANADA-TOLEDO-MADRI (446 km)</w:t>
      </w:r>
    </w:p>
    <w:p w14:paraId="53973B89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E60F4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E60F4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6BD3DD92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39E80BF9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E60F4D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E60F4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E60F4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E60F4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16201285" w14:textId="77777777" w:rsidR="00E60F4D" w:rsidRPr="00E60F4D" w:rsidRDefault="00E60F4D" w:rsidP="00E60F4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67734198" w14:textId="77777777" w:rsidR="00E60F4D" w:rsidRPr="00E60F4D" w:rsidRDefault="00E60F4D" w:rsidP="00E60F4D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BA856C9" w14:textId="77777777" w:rsidR="00E60F4D" w:rsidRPr="00E60F4D" w:rsidRDefault="00E60F4D" w:rsidP="00E60F4D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E60F4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E60F4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14162C72" w14:textId="77777777" w:rsidR="00E60F4D" w:rsidRPr="00E60F4D" w:rsidRDefault="00E60F4D" w:rsidP="00E60F4D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</w:pPr>
      <w:r w:rsidRPr="00E60F4D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>-</w:t>
      </w:r>
      <w:r w:rsidRPr="00E60F4D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ab/>
        <w:t xml:space="preserve">Em Marrocos, os passageiros devem passar pela alfândega com suas </w:t>
      </w:r>
      <w:proofErr w:type="spellStart"/>
      <w:r w:rsidRPr="00E60F4D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>respectivas</w:t>
      </w:r>
      <w:proofErr w:type="spellEnd"/>
      <w:r w:rsidRPr="00E60F4D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 xml:space="preserve"> bagagens.</w:t>
      </w:r>
    </w:p>
    <w:p w14:paraId="31B3D992" w14:textId="77777777" w:rsidR="00E60F4D" w:rsidRPr="00E60F4D" w:rsidRDefault="00E60F4D" w:rsidP="00E60F4D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E60F4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E60F4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5BAE8CCE" w14:textId="77777777" w:rsidR="00E60F4D" w:rsidRPr="00E60F4D" w:rsidRDefault="00E60F4D" w:rsidP="00E60F4D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O itinerário de Marrocos poderá ser alterado sem variar substancialmente os serviços.</w:t>
      </w:r>
    </w:p>
    <w:p w14:paraId="36FD5350" w14:textId="77777777" w:rsidR="00E60F4D" w:rsidRPr="00E60F4D" w:rsidRDefault="00E60F4D" w:rsidP="00E60F4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s-ES"/>
        </w:rPr>
      </w:pPr>
    </w:p>
    <w:p w14:paraId="69F4CE94" w14:textId="77777777" w:rsidR="00B65808" w:rsidRPr="00B65808" w:rsidRDefault="00B65808" w:rsidP="00E60F4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6DB8CE0E" w14:textId="77777777" w:rsidR="00E60F4D" w:rsidRDefault="00E60F4D" w:rsidP="00E60F4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Quintas-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E60F4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E60F4D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1916C9F4" w14:textId="77777777" w:rsidR="00E60F4D" w:rsidRDefault="00E60F4D" w:rsidP="00E60F4D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1A4E4BE4" w14:textId="77777777" w:rsidR="00E60F4D" w:rsidRDefault="00E60F4D" w:rsidP="00E60F4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48C230C9" w14:textId="77777777" w:rsidR="00E60F4D" w:rsidRDefault="00E60F4D" w:rsidP="00E60F4D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Sevilha, Fez, </w:t>
      </w:r>
      <w:proofErr w:type="spellStart"/>
      <w:r>
        <w:t>Marrakech</w:t>
      </w:r>
      <w:proofErr w:type="spellEnd"/>
      <w:r>
        <w:t xml:space="preserve">, </w:t>
      </w:r>
      <w:proofErr w:type="gramStart"/>
      <w:r>
        <w:t>Rabat,  Granada</w:t>
      </w:r>
      <w:proofErr w:type="gramEnd"/>
      <w:r>
        <w:t xml:space="preserve"> e Toledo. </w:t>
      </w:r>
    </w:p>
    <w:p w14:paraId="5CD66962" w14:textId="77777777" w:rsidR="00E60F4D" w:rsidRDefault="00E60F4D" w:rsidP="00E60F4D">
      <w:pPr>
        <w:pStyle w:val="incluyeHoteles-Incluye"/>
        <w:spacing w:after="0" w:line="240" w:lineRule="auto"/>
      </w:pPr>
      <w:r>
        <w:lastRenderedPageBreak/>
        <w:t>•</w:t>
      </w:r>
      <w:r>
        <w:tab/>
        <w:t>Café da manhã buffet diário.</w:t>
      </w:r>
    </w:p>
    <w:p w14:paraId="2895B0B1" w14:textId="77777777" w:rsidR="00E60F4D" w:rsidRDefault="00E60F4D" w:rsidP="00E60F4D">
      <w:pPr>
        <w:pStyle w:val="incluyeHoteles-Incluye"/>
        <w:spacing w:after="0" w:line="240" w:lineRule="auto"/>
      </w:pPr>
      <w:r>
        <w:t>•</w:t>
      </w:r>
      <w:r>
        <w:tab/>
        <w:t>4 almoços e 8 jantares.</w:t>
      </w:r>
    </w:p>
    <w:p w14:paraId="11A832D9" w14:textId="77777777" w:rsidR="00E60F4D" w:rsidRDefault="00E60F4D" w:rsidP="00E60F4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7CB35950" w14:textId="77777777" w:rsidR="00E60F4D" w:rsidRDefault="00E60F4D" w:rsidP="00E60F4D">
      <w:pPr>
        <w:pStyle w:val="incluyeHoteles-Incluye"/>
        <w:spacing w:after="0" w:line="240" w:lineRule="auto"/>
      </w:pPr>
      <w:r>
        <w:t>•</w:t>
      </w:r>
      <w:r>
        <w:tab/>
        <w:t>Passagem fast-ferry, ida/volta.</w:t>
      </w:r>
    </w:p>
    <w:p w14:paraId="0A83BB7A" w14:textId="2750735A" w:rsidR="00957DB7" w:rsidRDefault="00957DB7" w:rsidP="00E60F4D">
      <w:pPr>
        <w:pStyle w:val="cabecerahotelespreciosHoteles-Incluye"/>
        <w:spacing w:line="240" w:lineRule="auto"/>
        <w:rPr>
          <w:lang w:val="pt-PT"/>
        </w:rPr>
      </w:pPr>
    </w:p>
    <w:p w14:paraId="61EBAE27" w14:textId="77777777" w:rsidR="00E60F4D" w:rsidRPr="00E60F4D" w:rsidRDefault="00E60F4D" w:rsidP="00E60F4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E60F4D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E60F4D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E60F4D" w:rsidRPr="00E60F4D" w14:paraId="76ED2E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E610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E60F4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A9C2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60F4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6F49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E60F4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E60F4D" w:rsidRPr="00E60F4D" w14:paraId="671EAD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18A6BE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C16B5D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40AC4B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60F4D" w:rsidRPr="00E60F4D" w14:paraId="38605F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F15725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A8E0AA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BF9268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60F4D" w:rsidRPr="00E60F4D" w14:paraId="60C1CE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3E4770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Tânger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477BC3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63CD26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60F4D" w:rsidRPr="00E60F4D" w14:paraId="345407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0C5DC4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75E306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Les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Merinides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932735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60F4D" w:rsidRPr="00E60F4D" w14:paraId="4F76BB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BB29F3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44FBC9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27C23D0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60F4D" w:rsidRPr="00E60F4D" w14:paraId="65884E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06EE84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F8F7F3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Farah Rabat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4CEF62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E60F4D" w:rsidRPr="00E60F4D" w14:paraId="037F4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412464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1DDC9C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A4FCB3" w14:textId="77777777" w:rsidR="00E60F4D" w:rsidRPr="00E60F4D" w:rsidRDefault="00E60F4D" w:rsidP="00E60F4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81F8303" w14:textId="77777777" w:rsidR="00E60F4D" w:rsidRPr="00E60F4D" w:rsidRDefault="00E60F4D" w:rsidP="00E60F4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E60F4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6BF204BF" w14:textId="77777777" w:rsidR="00E60F4D" w:rsidRPr="00E60F4D" w:rsidRDefault="00E60F4D" w:rsidP="00E60F4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 xml:space="preserve">As saídas de </w:t>
      </w:r>
      <w:r w:rsidRPr="00E60F4D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6/</w:t>
      </w:r>
      <w:proofErr w:type="spellStart"/>
      <w:r w:rsidRPr="00E60F4D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Nov</w:t>
      </w:r>
      <w:proofErr w:type="spellEnd"/>
      <w:r w:rsidRPr="00E60F4D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/25 a 1/Jan/26</w:t>
      </w: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pernoite e feito no Hotel Sol Don Pablo (Torremolinos).</w:t>
      </w:r>
    </w:p>
    <w:p w14:paraId="3EACFA90" w14:textId="77777777" w:rsidR="00E60F4D" w:rsidRPr="00E60F4D" w:rsidRDefault="00E60F4D" w:rsidP="00E60F4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- </w:t>
      </w:r>
      <w:r w:rsidRPr="00E60F4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25/Dezembro, o jantar será oferecido no restaurante.</w:t>
      </w:r>
    </w:p>
    <w:p w14:paraId="1CFDE1EF" w14:textId="77777777" w:rsidR="00E60F4D" w:rsidRDefault="00E60F4D" w:rsidP="00E60F4D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E60F4D" w:rsidRPr="00E60F4D" w14:paraId="6F7628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E2571" w14:textId="77777777" w:rsidR="00E60F4D" w:rsidRPr="00E60F4D" w:rsidRDefault="00E60F4D" w:rsidP="00E60F4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E60F4D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E60F4D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E60F4D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E60F4D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F517F" w14:textId="77777777" w:rsidR="00E60F4D" w:rsidRPr="00E60F4D" w:rsidRDefault="00E60F4D" w:rsidP="00E60F4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60F4D" w:rsidRPr="00E60F4D" w14:paraId="518450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A073" w14:textId="77777777" w:rsidR="00E60F4D" w:rsidRPr="00E60F4D" w:rsidRDefault="00E60F4D" w:rsidP="00E60F4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2CED" w14:textId="77777777" w:rsidR="00E60F4D" w:rsidRPr="00E60F4D" w:rsidRDefault="00E60F4D" w:rsidP="00E60F4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F364F13" w14:textId="77777777" w:rsidR="00E60F4D" w:rsidRPr="00E60F4D" w:rsidRDefault="00E60F4D" w:rsidP="00E60F4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60F4D" w:rsidRPr="00E60F4D" w14:paraId="0BED92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15602A" w14:textId="77777777" w:rsidR="00E60F4D" w:rsidRPr="00E60F4D" w:rsidRDefault="00E60F4D" w:rsidP="00E60F4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170FE3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1.855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C94F21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60F4D" w:rsidRPr="00E60F4D" w14:paraId="762C3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23FA5D" w14:textId="77777777" w:rsidR="00E60F4D" w:rsidRPr="00E60F4D" w:rsidRDefault="00E60F4D" w:rsidP="00E60F4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488C1D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341591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60F4D" w:rsidRPr="00E60F4D" w14:paraId="1EFB44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586BC1" w14:textId="77777777" w:rsidR="00E60F4D" w:rsidRPr="00E60F4D" w:rsidRDefault="00E60F4D" w:rsidP="00E60F4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2A9704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F04E5D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E60F4D" w:rsidRPr="00E60F4D" w14:paraId="62971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ACEBA" w14:textId="77777777" w:rsidR="00E60F4D" w:rsidRPr="00E60F4D" w:rsidRDefault="00E60F4D" w:rsidP="00E60F4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</w:pPr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saídas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gramStart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10, 17 (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Páscoa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), </w:t>
            </w:r>
          </w:p>
          <w:p w14:paraId="70298B23" w14:textId="77777777" w:rsidR="00E60F4D" w:rsidRPr="00E60F4D" w:rsidRDefault="00E60F4D" w:rsidP="00E60F4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Maio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</w:t>
            </w: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 xml:space="preserve">(data 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CBA831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0017A0" w14:textId="77777777" w:rsidR="00E60F4D" w:rsidRPr="00E60F4D" w:rsidRDefault="00E60F4D" w:rsidP="00E60F4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E60F4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C612EB3" w14:textId="77777777" w:rsidR="00E60F4D" w:rsidRPr="00E60F4D" w:rsidRDefault="00E60F4D" w:rsidP="00E60F4D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E60F4D" w:rsidRDefault="0021700A" w:rsidP="00E60F4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es-ES"/>
        </w:rPr>
      </w:pPr>
    </w:p>
    <w:sectPr w:rsidR="0021700A" w:rsidRPr="00E60F4D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60F4D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60F4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60F4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E60F4D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E60F4D"/>
    <w:pPr>
      <w:ind w:left="0" w:firstLine="0"/>
    </w:pPr>
  </w:style>
  <w:style w:type="character" w:customStyle="1" w:styleId="negritanota">
    <w:name w:val="negrita nota"/>
    <w:uiPriority w:val="99"/>
    <w:rsid w:val="00E60F4D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E60F4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E60F4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60F4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60F4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E60F4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60F4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E60F4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60F4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950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2024-07-03T15:44:00Z</dcterms:modified>
</cp:coreProperties>
</file>