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468E5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proofErr w:type="spellStart"/>
      <w:r w:rsidRPr="00401D2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Capitais</w:t>
      </w:r>
      <w:proofErr w:type="spellEnd"/>
      <w:r w:rsidRPr="00401D2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</w:t>
      </w:r>
      <w:proofErr w:type="spellStart"/>
      <w:r w:rsidRPr="00401D2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Atlânticas</w:t>
      </w:r>
      <w:proofErr w:type="spellEnd"/>
    </w:p>
    <w:p w14:paraId="4CD8F86D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textAlignment w:val="center"/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</w:pPr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 xml:space="preserve">Lisboa, </w:t>
      </w:r>
      <w:proofErr w:type="spellStart"/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>Madri</w:t>
      </w:r>
      <w:proofErr w:type="spellEnd"/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 xml:space="preserve">, Paris, </w:t>
      </w:r>
      <w:proofErr w:type="spellStart"/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>Bruxelas</w:t>
      </w:r>
      <w:proofErr w:type="spellEnd"/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 xml:space="preserve"> e </w:t>
      </w:r>
      <w:proofErr w:type="spellStart"/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>Amsterdã</w:t>
      </w:r>
      <w:proofErr w:type="spellEnd"/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 xml:space="preserve">. </w:t>
      </w:r>
      <w:proofErr w:type="spellStart"/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>Com</w:t>
      </w:r>
      <w:proofErr w:type="spellEnd"/>
      <w:r w:rsidRPr="00401D21">
        <w:rPr>
          <w:rFonts w:ascii="Router-Book" w:hAnsi="Router-Book" w:cs="Router-Book"/>
          <w:color w:val="DC1D15"/>
          <w:spacing w:val="-5"/>
          <w:position w:val="2"/>
          <w:sz w:val="26"/>
          <w:szCs w:val="26"/>
        </w:rPr>
        <w:t xml:space="preserve"> Fátima, Lourdes e Vale do Loire</w:t>
      </w:r>
    </w:p>
    <w:p w14:paraId="50B54666" w14:textId="77777777" w:rsidR="00401D21" w:rsidRDefault="00401D21" w:rsidP="00401D21">
      <w:pPr>
        <w:pStyle w:val="codigocabecera"/>
        <w:spacing w:line="252" w:lineRule="auto"/>
        <w:jc w:val="left"/>
      </w:pPr>
      <w:r>
        <w:t>C-31532</w:t>
      </w:r>
    </w:p>
    <w:p w14:paraId="48887611" w14:textId="429A6115" w:rsidR="00957DB7" w:rsidRDefault="00401D21" w:rsidP="00401D21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0E118B0" w14:textId="77777777" w:rsidR="00401D21" w:rsidRPr="00401D21" w:rsidRDefault="00CD33C6" w:rsidP="00401D21">
      <w:pPr>
        <w:pStyle w:val="nochescabecera"/>
        <w:spacing w:line="252" w:lineRule="auto"/>
        <w:rPr>
          <w:lang w:val="en-US"/>
        </w:rPr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401D21">
        <w:t>Lisboa</w:t>
      </w:r>
      <w:proofErr w:type="gramEnd"/>
      <w:r w:rsidR="00401D21">
        <w:t xml:space="preserve"> 3. </w:t>
      </w:r>
      <w:proofErr w:type="spellStart"/>
      <w:r w:rsidR="00401D21">
        <w:t>Madri</w:t>
      </w:r>
      <w:proofErr w:type="spellEnd"/>
      <w:r w:rsidR="00401D21">
        <w:t xml:space="preserve"> 2. </w:t>
      </w:r>
      <w:r w:rsidR="00401D21" w:rsidRPr="00401D21">
        <w:rPr>
          <w:lang w:val="en-US"/>
        </w:rPr>
        <w:t xml:space="preserve">Lourdes 1. Tours 1. Paris 3. </w:t>
      </w:r>
      <w:proofErr w:type="spellStart"/>
      <w:r w:rsidR="00401D21" w:rsidRPr="00401D21">
        <w:rPr>
          <w:lang w:val="en-US"/>
        </w:rPr>
        <w:t>Bruxelas</w:t>
      </w:r>
      <w:proofErr w:type="spellEnd"/>
      <w:r w:rsidR="00401D21" w:rsidRPr="00401D21">
        <w:rPr>
          <w:lang w:val="en-US"/>
        </w:rPr>
        <w:t xml:space="preserve"> 1. </w:t>
      </w:r>
      <w:proofErr w:type="spellStart"/>
      <w:r w:rsidR="00401D21" w:rsidRPr="00401D21">
        <w:rPr>
          <w:lang w:val="en-US"/>
        </w:rPr>
        <w:t>Amsterdã</w:t>
      </w:r>
      <w:proofErr w:type="spellEnd"/>
      <w:r w:rsidR="00401D21" w:rsidRPr="00401D21">
        <w:rPr>
          <w:lang w:val="en-US"/>
        </w:rPr>
        <w:t xml:space="preserve"> 2.</w:t>
      </w:r>
    </w:p>
    <w:p w14:paraId="518C4C7B" w14:textId="067D1BAA" w:rsidR="00CD33C6" w:rsidRPr="00401D21" w:rsidRDefault="00CD33C6" w:rsidP="00401D21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</w:p>
    <w:p w14:paraId="6CC4DE75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BRASIL-LISBOA </w:t>
      </w:r>
    </w:p>
    <w:p w14:paraId="579724AA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Lisboa. Noite a bordo. </w:t>
      </w:r>
    </w:p>
    <w:p w14:paraId="5C6678D4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2364C82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(Quarta) LISBOA</w:t>
      </w:r>
    </w:p>
    <w:p w14:paraId="5821FBDB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Lisboa Portela. Assistência e traslado ao hotel. </w:t>
      </w: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2AC7D83A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EF07A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(Quinta) LISBOA</w:t>
      </w:r>
    </w:p>
    <w:p w14:paraId="6B1C5621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 </w:t>
      </w:r>
    </w:p>
    <w:p w14:paraId="392119B6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5E44058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(Sexta) LISBOA-FATIMA-LISBOA (264 km)</w:t>
      </w:r>
    </w:p>
    <w:p w14:paraId="60855904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</w:t>
      </w:r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Na parte de manhã saída </w:t>
      </w:r>
      <w:proofErr w:type="gramStart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ate</w:t>
      </w:r>
      <w:proofErr w:type="gramEnd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Fátima, importante centro de peregrinação para visitar a Basílica e posteriormente regresso a Lisboa. </w:t>
      </w:r>
    </w:p>
    <w:p w14:paraId="76B4E19D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404B35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(Sábado) LISBOA-CACERES-MADRI (613 km)</w:t>
      </w:r>
    </w:p>
    <w:p w14:paraId="0191FDCF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</w:t>
      </w:r>
      <w:r w:rsidRPr="00401D2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. Saída </w:t>
      </w:r>
      <w:proofErr w:type="gramStart"/>
      <w:r w:rsidRPr="00401D2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ate</w:t>
      </w:r>
      <w:proofErr w:type="gramEnd"/>
      <w:r w:rsidRPr="00401D2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a fronteira espanhola para chegar a Cáceres. Tempo livre para visitar sua Praça Maior e casco antigo com seu bairro medieval. Almoço livre. Continuação </w:t>
      </w:r>
      <w:proofErr w:type="gramStart"/>
      <w:r w:rsidRPr="00401D2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ate</w:t>
      </w:r>
      <w:proofErr w:type="gramEnd"/>
      <w:r w:rsidRPr="00401D2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</w:t>
      </w:r>
      <w:proofErr w:type="spellStart"/>
      <w:r w:rsidRPr="00401D2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Madri</w:t>
      </w:r>
      <w:proofErr w:type="spellEnd"/>
      <w:r w:rsidRPr="00401D2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. Chegada e </w:t>
      </w:r>
      <w:r w:rsidRPr="00401D2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alojamento</w:t>
      </w:r>
      <w:r w:rsidRPr="00401D2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.</w:t>
      </w:r>
    </w:p>
    <w:p w14:paraId="58C2A199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DBE5BA7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6º Dia (Domingo) MADRI </w:t>
      </w:r>
    </w:p>
    <w:p w14:paraId="4ACED847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7C4C07FC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DB59D8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7º Dia (Segunda) MADRI-LOURDES (645 km)</w:t>
      </w:r>
    </w:p>
    <w:p w14:paraId="79125A5A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com a França para continuar através da região montanhosa dos Pireneus e chegar a Lourdes, um importante centro de peregrinação. </w:t>
      </w: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Tempo livre para visitar a Basílica e a Santa Gruta, onde, segundo a tradição, a Virgem Maria apareceu para Bernadette. Possibilidade de assistir à impressionante Procissão das Velas, (de Abril a Outubro). </w:t>
      </w:r>
    </w:p>
    <w:p w14:paraId="50213950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5A08D41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(Terça) LOURDES-TOURS (593 km)</w:t>
      </w:r>
    </w:p>
    <w:p w14:paraId="1B57AC44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ao longo da floresta de Landes e através das vinhas de Bordeaux e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Cognac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para chegar a Tours, capital do Jardim da França, onde teremos tempo livre para admirar esta interessante cidade e visitar a igreja de São Martinho com o túmulo do santo, a catedral de Saint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Gatien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os diversos palácios espalhados pelo centro histórico da cidade. Traslado ao hotel. </w:t>
      </w: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D786248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5F12C3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  <w:t>9º Dia (Quarta) TOURS-VALE DO LOIRE-PARIS (255 km)</w:t>
      </w:r>
    </w:p>
    <w:p w14:paraId="005F9BEF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Saída pelo fértil vale da região dos Castelos do Loire, Patrimônio da Humanidade, para chegar a </w:t>
      </w:r>
      <w:proofErr w:type="spellStart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Amboise</w:t>
      </w:r>
      <w:proofErr w:type="spellEnd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famosa por seu castelo e pelo château </w:t>
      </w:r>
      <w:proofErr w:type="spellStart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du</w:t>
      </w:r>
      <w:proofErr w:type="spellEnd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</w:t>
      </w:r>
      <w:proofErr w:type="spellStart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Clos</w:t>
      </w:r>
      <w:proofErr w:type="spellEnd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</w:t>
      </w:r>
      <w:proofErr w:type="spellStart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Lucé</w:t>
      </w:r>
      <w:proofErr w:type="spellEnd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onde Leonardo da Vinci viveu e morreu. Mais tarde, continuação para o castelo de Chambord, um dos maiores expoentes </w:t>
      </w:r>
      <w:proofErr w:type="spellStart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arquitetônicos</w:t>
      </w:r>
      <w:proofErr w:type="spellEnd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do Vale. Tempo livre. Continuação para Paris. Chegada e </w:t>
      </w:r>
      <w:r w:rsidRPr="00401D2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Possibilidade de fazer a visita opcional Paris Iluminada e um cruzeiro ao longo do rio Sena.</w:t>
      </w:r>
    </w:p>
    <w:p w14:paraId="6EEDD22C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4A4E496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10º Dia (Quinta) PARIS </w:t>
      </w:r>
    </w:p>
    <w:p w14:paraId="34E22749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Pela manhã, visita panorâmica na Cidade Luz para admirar seus monumentos mais importantes, como a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401D2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6309D85C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BE2E25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11º Dia (Sexta) PARIS</w:t>
      </w:r>
    </w:p>
    <w:p w14:paraId="19FD0A6D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1B85A7EE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880F01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12º Dia (Sábado) PARIS-BRUGES-BRUXELAS (387 km)</w:t>
      </w:r>
    </w:p>
    <w:p w14:paraId="0BB48663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para a Bélgica para chegar à bela e romântica cidade de Bruges. Tempo livre para passear no centro histórico e conhecer o lago do Amor, seus românticos canais, belos edifícios e igrejas. Continuação para Bruxelas. Possibilidade de realizar uma visita opcional para conhecer alguns dos monumentos mais representativos, como o </w:t>
      </w:r>
      <w:proofErr w:type="spellStart"/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Atomium</w:t>
      </w:r>
      <w:proofErr w:type="spellEnd"/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, a </w:t>
      </w:r>
      <w:proofErr w:type="spellStart"/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Grand</w:t>
      </w:r>
      <w:proofErr w:type="spellEnd"/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</w:t>
      </w:r>
      <w:proofErr w:type="spellStart"/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Place</w:t>
      </w:r>
      <w:proofErr w:type="spellEnd"/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, o </w:t>
      </w:r>
      <w:proofErr w:type="spellStart"/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Manneken</w:t>
      </w:r>
      <w:proofErr w:type="spellEnd"/>
      <w:r w:rsidRPr="00401D2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Pis. </w:t>
      </w:r>
      <w:r w:rsidRPr="00401D2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27944288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DC92894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13º Dia (Domingo) BRUXELAS-ROTERDÃ-HAIA-AMSTERDÃ (230 km)</w:t>
      </w:r>
    </w:p>
    <w:p w14:paraId="2926B96B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saída para </w:t>
      </w:r>
      <w:proofErr w:type="spellStart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Roterdã</w:t>
      </w:r>
      <w:proofErr w:type="spellEnd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segunda cidade mais importante da Holanda. Breve visita panorâmica e continuação para Haia, capital administrativa, com uma pequena parada para conhecer os edifícios que abrigam os diferentes órgãos do governo holandês. Continuação para </w:t>
      </w:r>
      <w:proofErr w:type="spellStart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Amsterdã</w:t>
      </w:r>
      <w:proofErr w:type="spellEnd"/>
      <w:r w:rsidRPr="00401D2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401D2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4DA3F6E4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6436B70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14º Dia (Segunda) AMSTERDÃ </w:t>
      </w:r>
    </w:p>
    <w:p w14:paraId="037D5CAA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</w:t>
      </w:r>
      <w:proofErr w:type="spellStart"/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Amstel</w:t>
      </w:r>
      <w:proofErr w:type="spellEnd"/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Coster</w:t>
      </w:r>
      <w:proofErr w:type="spellEnd"/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Marken</w:t>
      </w:r>
      <w:proofErr w:type="spellEnd"/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</w:t>
      </w:r>
      <w:proofErr w:type="spellStart"/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Volendam</w:t>
      </w:r>
      <w:proofErr w:type="spellEnd"/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ou passeio de barco pelos seus canais contemplando a beleza da arquitetura dos seus edifícios ribeirinhos.</w:t>
      </w:r>
    </w:p>
    <w:p w14:paraId="7B58A957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01D2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136568AB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46D178D" w14:textId="77777777" w:rsidR="00401D21" w:rsidRPr="00401D21" w:rsidRDefault="00401D21" w:rsidP="00401D21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15º Dia (Terça) AMSTERDÃ </w:t>
      </w:r>
    </w:p>
    <w:p w14:paraId="582D553C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01D2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44B558AE" w14:textId="77777777" w:rsidR="00B3656E" w:rsidRPr="00401D21" w:rsidRDefault="00B3656E" w:rsidP="00401D21">
      <w:pPr>
        <w:pStyle w:val="cabecerahotelespreciosHoteles-Incluye"/>
        <w:spacing w:line="252" w:lineRule="auto"/>
        <w:rPr>
          <w:lang w:val="pt-PT"/>
        </w:rPr>
      </w:pPr>
    </w:p>
    <w:p w14:paraId="40C90447" w14:textId="77777777" w:rsidR="00401D21" w:rsidRPr="00401D21" w:rsidRDefault="00CD33C6" w:rsidP="00401D21">
      <w:pPr>
        <w:pStyle w:val="cabecerahotelespreciosHoteles-Incluye"/>
        <w:spacing w:after="0" w:line="252" w:lineRule="auto"/>
        <w:rPr>
          <w:color w:val="DC1D15"/>
          <w:sz w:val="22"/>
          <w:szCs w:val="22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401D21">
        <w:t xml:space="preserve"> </w:t>
      </w:r>
      <w:proofErr w:type="spellStart"/>
      <w:r w:rsidR="00401D21" w:rsidRPr="00401D21">
        <w:rPr>
          <w:color w:val="DC1D15"/>
          <w:sz w:val="22"/>
          <w:szCs w:val="22"/>
        </w:rPr>
        <w:t>Terças-feiras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01D21" w:rsidRPr="00401D21" w14:paraId="58BEA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DD5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A89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C6C6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7CB0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2ED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1C8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3C362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327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E83F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B8DE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D96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9D4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E07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401D21" w:rsidRPr="00401D21" w14:paraId="2F1F2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6A9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8B0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6E8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E27F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F77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FF40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20C7E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AB5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21A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251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BA6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7788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50C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53B07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160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1D7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8CA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041C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772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940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01D21" w:rsidRPr="00401D21" w14:paraId="0C353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1BCF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A07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3EB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9B68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BD18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251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5E982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C38F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439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5D8D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F3C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791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C9C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01D21" w:rsidRPr="00401D21" w14:paraId="7C865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B5D0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B33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503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7AB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5FB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5B5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4D2B1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F0C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509E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86D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4D28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BEB6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3B6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4CB71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87F8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FB6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7A40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C41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795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158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01D21" w:rsidRPr="00401D21" w14:paraId="134D6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C55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BAF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F16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5F7F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60A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E3FE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5E0F3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58B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896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DFE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7BB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6E6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3C6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5591D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D57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9B5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DDB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035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800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F27F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01D21" w:rsidRPr="00401D21" w14:paraId="351C7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C95C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1A6B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86B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70C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48A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F7A6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1F4E238C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401D21">
      <w:pPr>
        <w:pStyle w:val="cabecerahotelespreciosHoteles-Incluye"/>
        <w:spacing w:line="252" w:lineRule="auto"/>
      </w:pPr>
      <w:r>
        <w:t xml:space="preserve">VPT </w:t>
      </w:r>
      <w:proofErr w:type="spellStart"/>
      <w:r w:rsidR="00CD33C6" w:rsidRPr="00CD33C6">
        <w:t>Incluindo</w:t>
      </w:r>
      <w:proofErr w:type="spellEnd"/>
    </w:p>
    <w:p w14:paraId="34C1A1E4" w14:textId="77777777" w:rsidR="00401D21" w:rsidRDefault="00401D21" w:rsidP="00401D21">
      <w:pPr>
        <w:pStyle w:val="incluyeHoteles-Incluye"/>
        <w:spacing w:after="0" w:line="252" w:lineRule="auto"/>
      </w:pPr>
      <w:r>
        <w:t>•</w:t>
      </w:r>
      <w:r>
        <w:tab/>
        <w:t>Traslado: Chegada Lisboa.</w:t>
      </w:r>
    </w:p>
    <w:p w14:paraId="036C7F33" w14:textId="77777777" w:rsidR="00401D21" w:rsidRDefault="00401D21" w:rsidP="00401D21">
      <w:pPr>
        <w:pStyle w:val="incluyeHoteles-Incluye"/>
        <w:spacing w:after="0" w:line="252" w:lineRule="auto"/>
      </w:pPr>
      <w:r>
        <w:t>•</w:t>
      </w:r>
      <w:r>
        <w:tab/>
        <w:t>Ônibus de luxo com WI-FI gratuito.</w:t>
      </w:r>
    </w:p>
    <w:p w14:paraId="7458730F" w14:textId="77777777" w:rsidR="00401D21" w:rsidRDefault="00401D21" w:rsidP="00401D21">
      <w:pPr>
        <w:pStyle w:val="incluyeHoteles-Incluye"/>
        <w:spacing w:after="0" w:line="252" w:lineRule="auto"/>
      </w:pPr>
      <w:r>
        <w:t>•</w:t>
      </w:r>
      <w:r>
        <w:tab/>
        <w:t>Guia acompanhante.</w:t>
      </w:r>
    </w:p>
    <w:p w14:paraId="0042F4BF" w14:textId="77777777" w:rsidR="00401D21" w:rsidRDefault="00401D21" w:rsidP="00401D21">
      <w:pPr>
        <w:pStyle w:val="incluyeHoteles-Incluye"/>
        <w:spacing w:after="0" w:line="252" w:lineRule="auto"/>
      </w:pPr>
      <w:r>
        <w:t>•</w:t>
      </w:r>
      <w:r>
        <w:tab/>
        <w:t xml:space="preserve">Visita com guia local em Lisboa, </w:t>
      </w:r>
      <w:proofErr w:type="spellStart"/>
      <w:r>
        <w:t>Madri</w:t>
      </w:r>
      <w:proofErr w:type="spellEnd"/>
      <w:r>
        <w:t xml:space="preserve">, Paris e </w:t>
      </w:r>
      <w:proofErr w:type="spellStart"/>
      <w:r>
        <w:t>Amsterdã</w:t>
      </w:r>
      <w:proofErr w:type="spellEnd"/>
      <w:r>
        <w:t>.</w:t>
      </w:r>
    </w:p>
    <w:p w14:paraId="23B40540" w14:textId="77777777" w:rsidR="00401D21" w:rsidRDefault="00401D21" w:rsidP="00401D21">
      <w:pPr>
        <w:pStyle w:val="incluyeHoteles-Incluye"/>
        <w:spacing w:after="0" w:line="252" w:lineRule="auto"/>
      </w:pPr>
      <w:r>
        <w:t>•</w:t>
      </w:r>
      <w:r>
        <w:tab/>
        <w:t>Café da manhã buffet.</w:t>
      </w:r>
    </w:p>
    <w:p w14:paraId="4C3A3521" w14:textId="77777777" w:rsidR="00401D21" w:rsidRDefault="00401D21" w:rsidP="00401D21">
      <w:pPr>
        <w:pStyle w:val="incluyeHoteles-Incluye"/>
        <w:spacing w:after="0" w:line="252" w:lineRule="auto"/>
      </w:pPr>
      <w:r>
        <w:t>•</w:t>
      </w:r>
      <w:r>
        <w:tab/>
        <w:t>Seguro turístico.</w:t>
      </w:r>
    </w:p>
    <w:p w14:paraId="701502C9" w14:textId="77777777" w:rsidR="00401D21" w:rsidRDefault="00401D21" w:rsidP="00401D21">
      <w:pPr>
        <w:pStyle w:val="incluyeHoteles-Incluye"/>
        <w:spacing w:after="0" w:line="252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 </w:t>
      </w:r>
    </w:p>
    <w:p w14:paraId="7118C404" w14:textId="77777777" w:rsidR="00401D21" w:rsidRDefault="00401D21" w:rsidP="00401D21">
      <w:pPr>
        <w:pStyle w:val="incluyeHoteles-Incluye"/>
        <w:spacing w:after="0" w:line="252" w:lineRule="auto"/>
      </w:pPr>
      <w:r>
        <w:t>•</w:t>
      </w:r>
      <w:r>
        <w:tab/>
        <w:t>Taxas Municipais em Lisboa e França.</w:t>
      </w:r>
    </w:p>
    <w:p w14:paraId="415E1842" w14:textId="77777777" w:rsidR="0021700A" w:rsidRDefault="0021700A" w:rsidP="00401D21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50D5FF6E" w14:textId="77777777" w:rsidR="00401D21" w:rsidRPr="00401D21" w:rsidRDefault="00401D21" w:rsidP="00401D21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401D21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401D21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2381"/>
        <w:gridCol w:w="283"/>
      </w:tblGrid>
      <w:tr w:rsidR="00401D21" w:rsidRPr="00401D21" w14:paraId="09BCA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6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5014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401D2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E738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01D2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2FC7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01D2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01D21" w:rsidRPr="00401D21" w14:paraId="0AFB2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4CF9C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165F38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B5B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01D21" w:rsidRPr="00401D21" w14:paraId="0EE45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0EA48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C9CA80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A379D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01D21" w:rsidRPr="00401D21" w14:paraId="26AB5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973E3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Lourdes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3A2E08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Miramont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Helgon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93E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01D21" w:rsidRPr="00401D21" w14:paraId="17F12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F0F22D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Tours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87729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Tours Sud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4580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01D21" w:rsidRPr="00401D21" w14:paraId="48E99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171C5D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A7EB23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Novotel Suites Paris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Montreuil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Vincennes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45EE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01D21" w:rsidRPr="00401D21" w14:paraId="4B92E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7E2B56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516EA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Paris Saint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Ouen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433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01D21" w:rsidRPr="00401D21" w14:paraId="11993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F1224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Bruxelas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BD925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Thon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Brussels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713D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01D21" w:rsidRPr="00401D21" w14:paraId="18EC8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B6BB22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35E35E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Park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Brussels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042B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01D21" w:rsidRPr="00401D21" w14:paraId="3360C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311671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36BCB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Des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Colonies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Bedford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FC16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401D21" w:rsidRPr="00401D21" w14:paraId="03339F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02A27B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2000A8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5FACE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01D21" w:rsidRPr="00401D21" w14:paraId="14707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7AFC90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38254F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C485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01D21" w:rsidRPr="00401D21" w14:paraId="65C09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00E776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BC6638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by Meliá Berlin Mitte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4FB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7C781A4" w14:textId="77777777" w:rsidR="00401D21" w:rsidRPr="00401D21" w:rsidRDefault="00401D21" w:rsidP="00401D21">
      <w:pPr>
        <w:autoSpaceDE w:val="0"/>
        <w:autoSpaceDN w:val="0"/>
        <w:adjustRightInd w:val="0"/>
        <w:spacing w:line="252" w:lineRule="auto"/>
        <w:textAlignment w:val="center"/>
        <w:rPr>
          <w:rFonts w:ascii="Avenir Next" w:hAnsi="Avenir Next" w:cs="Avenir Next"/>
          <w:caps/>
          <w:color w:val="00000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191"/>
        <w:gridCol w:w="794"/>
        <w:gridCol w:w="1190"/>
        <w:gridCol w:w="794"/>
      </w:tblGrid>
      <w:tr w:rsidR="00401D21" w:rsidRPr="00401D21" w14:paraId="70488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D818" w14:textId="77777777" w:rsidR="00401D21" w:rsidRPr="00401D21" w:rsidRDefault="00401D21" w:rsidP="00401D2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401D21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401D21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401D21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401D21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1985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0DCEC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C-31532</w:t>
            </w:r>
          </w:p>
          <w:p w14:paraId="4368192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Lisboa-</w:t>
            </w:r>
            <w:proofErr w:type="spellStart"/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Amsterdã</w:t>
            </w:r>
            <w:proofErr w:type="spellEnd"/>
          </w:p>
          <w:p w14:paraId="0B9A020E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15 </w:t>
            </w:r>
            <w:proofErr w:type="spellStart"/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837E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C-315321</w:t>
            </w:r>
          </w:p>
          <w:p w14:paraId="6EBA394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proofErr w:type="spellStart"/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Madri-Amsterdã</w:t>
            </w:r>
            <w:proofErr w:type="spellEnd"/>
          </w:p>
          <w:p w14:paraId="79348E6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11 </w:t>
            </w:r>
            <w:proofErr w:type="spellStart"/>
            <w:r w:rsidRPr="00401D2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dias</w:t>
            </w:r>
            <w:proofErr w:type="spellEnd"/>
          </w:p>
        </w:tc>
      </w:tr>
      <w:tr w:rsidR="00401D21" w:rsidRPr="00401D21" w14:paraId="26E1E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28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9C3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711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F80AFBD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F7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1723ED9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401D21" w:rsidRPr="00401D21" w14:paraId="1A13F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EBEDB5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0B1D3B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2.530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6D5086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B71AB0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1.850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7D56F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1D21" w:rsidRPr="00401D21" w14:paraId="531A4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963247" w14:textId="77777777" w:rsidR="00401D21" w:rsidRPr="00401D21" w:rsidRDefault="00401D21" w:rsidP="00401D2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401D2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01D2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01D2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401D2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401D2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401D2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401D2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12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388FD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01D2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2.450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7B186B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01D2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6497C9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01D2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1.790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1FEED5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01D2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401D21" w:rsidRPr="00401D21" w14:paraId="390D5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67191E" w14:textId="77777777" w:rsidR="00401D21" w:rsidRPr="00401D21" w:rsidRDefault="00401D21" w:rsidP="00401D2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01D2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401D2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401D2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401D2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401D2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401D2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401D2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10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3B71C8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01D2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2.360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88F65A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01D2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5F955E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01D2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1.690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F1F33F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01D2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401D21" w:rsidRPr="00401D21" w14:paraId="393A7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F75ED" w14:textId="77777777" w:rsidR="00401D21" w:rsidRPr="00401D21" w:rsidRDefault="00401D21" w:rsidP="00401D2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5BD80A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1.130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7BFAC2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FB95F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870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8743A2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1D21" w:rsidRPr="00401D21" w14:paraId="39FB8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818DCD" w14:textId="77777777" w:rsidR="00401D21" w:rsidRPr="00401D21" w:rsidRDefault="00401D21" w:rsidP="00401D2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meia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pensão</w:t>
            </w:r>
            <w:proofErr w:type="spellEnd"/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29BF78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A3622C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F9E3F6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AB3420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401D21" w:rsidRPr="00401D21" w14:paraId="5A04A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EA2DB" w14:textId="77777777" w:rsidR="00401D21" w:rsidRPr="00401D21" w:rsidRDefault="00401D21" w:rsidP="00401D2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DA4AA8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6ED11F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5964B0" w14:textId="77777777" w:rsidR="00401D21" w:rsidRPr="00401D21" w:rsidRDefault="00401D21" w:rsidP="00401D2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1D2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785FEC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401D21" w:rsidRPr="00401D21" w14:paraId="5C26B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A40A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BC64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4156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75CD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3987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401D21" w:rsidRPr="00401D21" w14:paraId="20FD5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597" w:type="dxa"/>
            <w:gridSpan w:val="5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BAEC" w14:textId="77777777" w:rsidR="00401D21" w:rsidRPr="00401D21" w:rsidRDefault="00401D21" w:rsidP="00401D21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(1) Exceto Lisboa,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>Madri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 e Paris (5 jantares/almoços). (2) Exceto </w:t>
            </w:r>
            <w:proofErr w:type="spellStart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>Madri</w:t>
            </w:r>
            <w:proofErr w:type="spellEnd"/>
            <w:r w:rsidRPr="00401D21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 e Paris (5 jantares/almoços). </w:t>
            </w:r>
          </w:p>
          <w:p w14:paraId="49CEE393" w14:textId="77777777" w:rsidR="00401D21" w:rsidRPr="00401D21" w:rsidRDefault="00401D21" w:rsidP="00401D2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17 de </w:t>
            </w:r>
            <w:proofErr w:type="spellStart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401D2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</w:t>
            </w:r>
          </w:p>
        </w:tc>
      </w:tr>
    </w:tbl>
    <w:p w14:paraId="4F2D559C" w14:textId="77777777" w:rsidR="00401D21" w:rsidRPr="00401D21" w:rsidRDefault="00401D21" w:rsidP="00401D21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401D21" w:rsidRPr="00401D21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01D21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01D2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01D2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401D21"/>
  </w:style>
  <w:style w:type="paragraph" w:customStyle="1" w:styleId="fechas-negrofechas">
    <w:name w:val="fechas-negro (fechas)"/>
    <w:basedOn w:val="Textoitinerario"/>
    <w:uiPriority w:val="99"/>
    <w:rsid w:val="00401D21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401D21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401D21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401D2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01D2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01D2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401D21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401D21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401D2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01D2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401D2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401D2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401D2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401D2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01D2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01D2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401D21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01D2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1100</Words>
  <Characters>6053</Characters>
  <Application>Microsoft Office Word</Application>
  <DocSecurity>0</DocSecurity>
  <Lines>50</Lines>
  <Paragraphs>14</Paragraphs>
  <ScaleCrop>false</ScaleCrop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2024-10-17T07:40:00Z</dcterms:modified>
</cp:coreProperties>
</file>